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C2F21" w14:textId="1E708342" w:rsidR="00287F26" w:rsidRPr="00AA6C5B" w:rsidRDefault="0030179A">
      <w:pPr>
        <w:rPr>
          <w:u w:val="single"/>
        </w:rPr>
      </w:pPr>
      <w:r w:rsidRPr="00287F26">
        <w:rPr>
          <w:u w:val="single"/>
        </w:rPr>
        <w:t>Sepsis Updates</w:t>
      </w:r>
    </w:p>
    <w:p w14:paraId="35D3EE7A" w14:textId="77777777" w:rsidR="00AA6C5B" w:rsidRDefault="00AA6C5B"/>
    <w:p w14:paraId="4ACE2D01" w14:textId="356BE36A" w:rsidR="0030179A" w:rsidRPr="0030179A" w:rsidRDefault="0030179A">
      <w:pPr>
        <w:rPr>
          <w:b/>
          <w:bCs/>
        </w:rPr>
      </w:pPr>
      <w:r w:rsidRPr="0030179A">
        <w:rPr>
          <w:b/>
          <w:bCs/>
        </w:rPr>
        <w:t xml:space="preserve">New to EPIC: Sepsis Timer! </w:t>
      </w:r>
    </w:p>
    <w:p w14:paraId="2A0459F1" w14:textId="6DCC8CAD" w:rsidR="0030179A" w:rsidRDefault="0030179A">
      <w:r>
        <w:t xml:space="preserve">This will allow you to see a red clock on your dashboard when you have placed a sepsis bundle </w:t>
      </w:r>
      <w:proofErr w:type="spellStart"/>
      <w:r>
        <w:t>orderset</w:t>
      </w:r>
      <w:proofErr w:type="spellEnd"/>
      <w:r>
        <w:t>. When the nurse has completed the bundle, the red clock will turn to a green check mark. (See attached Tip Sheet)</w:t>
      </w:r>
    </w:p>
    <w:p w14:paraId="48AFBE5D" w14:textId="7C0A53D5" w:rsidR="0030179A" w:rsidRDefault="0030179A">
      <w:pPr>
        <w:rPr>
          <w:b/>
          <w:bCs/>
        </w:rPr>
      </w:pPr>
      <w:r w:rsidRPr="0030179A">
        <w:rPr>
          <w:b/>
          <w:bCs/>
        </w:rPr>
        <w:t>Fluid Exceptions</w:t>
      </w:r>
    </w:p>
    <w:p w14:paraId="15DE0E1F" w14:textId="3F34935F" w:rsidR="0030179A" w:rsidRDefault="0030179A">
      <w:r>
        <w:t>We do a great job at treating patients</w:t>
      </w:r>
      <w:r w:rsidR="00287F26">
        <w:t>- CMS is not as smart as you! But-</w:t>
      </w:r>
      <w:r>
        <w:t xml:space="preserve"> CMS sees sepsis as either a “pass or fail</w:t>
      </w:r>
      <w:r w:rsidR="00287F26">
        <w:t>.</w:t>
      </w:r>
      <w:r>
        <w:t>”</w:t>
      </w:r>
      <w:r w:rsidR="00287F26">
        <w:t xml:space="preserve"> </w:t>
      </w:r>
      <w:r>
        <w:t xml:space="preserve"> We have a lot of fall outs for not documented rationale regarding fluids</w:t>
      </w:r>
      <w:r w:rsidR="00AA6C5B">
        <w:t>*</w:t>
      </w:r>
      <w:r>
        <w:t xml:space="preserve"> administration. Use </w:t>
      </w:r>
      <w:proofErr w:type="gramStart"/>
      <w:r>
        <w:t>the .</w:t>
      </w:r>
      <w:proofErr w:type="spellStart"/>
      <w:r>
        <w:t>sepsisfluidexception</w:t>
      </w:r>
      <w:proofErr w:type="spellEnd"/>
      <w:proofErr w:type="gramEnd"/>
      <w:r>
        <w:t xml:space="preserve"> dot phrase to help alleviate charting. </w:t>
      </w:r>
    </w:p>
    <w:p w14:paraId="11B30821" w14:textId="05979D64" w:rsidR="00287F26" w:rsidRDefault="00AA6C5B">
      <w:r>
        <w:t>*</w:t>
      </w:r>
      <w:r w:rsidR="00287F26">
        <w:t xml:space="preserve">Remember, this only applies to those patients that meet the 30cc/kg criteria (hypotension/lactate &gt;=4). You must document your rationale AND how much fluid you ordered if you are not giving 30cc/kg in </w:t>
      </w:r>
      <w:r>
        <w:t>this cohort.</w:t>
      </w:r>
      <w:r w:rsidR="00287F26">
        <w:t xml:space="preserve"> </w:t>
      </w:r>
    </w:p>
    <w:p w14:paraId="42F8D7DF" w14:textId="75BF8743" w:rsidR="0030179A" w:rsidRDefault="00287F26">
      <w:r w:rsidRPr="00287F26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br/>
      </w:r>
      <w:r w:rsidR="0030179A">
        <w:rPr>
          <w:noProof/>
        </w:rPr>
        <w:drawing>
          <wp:inline distT="0" distB="0" distL="0" distR="0" wp14:anchorId="722B55F9" wp14:editId="00E8D403">
            <wp:extent cx="5837426" cy="2667231"/>
            <wp:effectExtent l="0" t="0" r="0" b="0"/>
            <wp:docPr id="20572430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7243060" name="Picture 205724306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7426" cy="2667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288DD" w14:textId="0215AAD3" w:rsidR="0030179A" w:rsidRDefault="0030179A">
      <w:r>
        <w:rPr>
          <w:noProof/>
        </w:rPr>
        <w:drawing>
          <wp:inline distT="0" distB="0" distL="0" distR="0" wp14:anchorId="14470C7D" wp14:editId="75109DF0">
            <wp:extent cx="4427604" cy="1200254"/>
            <wp:effectExtent l="0" t="0" r="0" b="0"/>
            <wp:docPr id="108758932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589324" name="Picture 108758932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7604" cy="1200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453ED" w14:textId="77777777" w:rsidR="00287F26" w:rsidRDefault="00287F26"/>
    <w:p w14:paraId="455799CA" w14:textId="77777777" w:rsidR="00287F26" w:rsidRDefault="00287F26"/>
    <w:p w14:paraId="3C120D90" w14:textId="79F0A395" w:rsidR="00287F26" w:rsidRDefault="00287F26">
      <w:r>
        <w:lastRenderedPageBreak/>
        <w:t xml:space="preserve">FYI- ideal body weight is accepted. See Q&amp;A below. This is an option when ordering fluids in the </w:t>
      </w:r>
      <w:proofErr w:type="spellStart"/>
      <w:r>
        <w:t>orderset</w:t>
      </w:r>
      <w:proofErr w:type="spellEnd"/>
      <w:r>
        <w:t xml:space="preserve"> in EPIC. </w:t>
      </w:r>
      <w:r w:rsidR="00AA6C5B">
        <w:t>Documentation is key.</w:t>
      </w:r>
    </w:p>
    <w:p w14:paraId="2085FDD7" w14:textId="4F67E4C4" w:rsidR="00287F26" w:rsidRDefault="00287F26">
      <w:r w:rsidRPr="00287F26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3"/>
          <w:szCs w:val="23"/>
          <w:shd w:val="clear" w:color="auto" w:fill="FFFFFF"/>
          <w14:ligatures w14:val="none"/>
        </w:rPr>
        <w:t>Q “Does </w:t>
      </w:r>
      <w:r w:rsidRPr="00287F26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3"/>
          <w:szCs w:val="23"/>
          <w:bdr w:val="none" w:sz="0" w:space="0" w:color="auto" w:frame="1"/>
          <w:shd w:val="clear" w:color="auto" w:fill="FFFFFF"/>
          <w14:ligatures w14:val="none"/>
        </w:rPr>
        <w:t>the</w:t>
      </w:r>
      <w:r w:rsidRPr="00287F26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3"/>
          <w:szCs w:val="23"/>
          <w:shd w:val="clear" w:color="auto" w:fill="FFFFFF"/>
          <w14:ligatures w14:val="none"/>
        </w:rPr>
        <w:t> targeted fluid volume still allow </w:t>
      </w:r>
      <w:r w:rsidRPr="00287F26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3"/>
          <w:szCs w:val="23"/>
          <w:bdr w:val="none" w:sz="0" w:space="0" w:color="auto" w:frame="1"/>
          <w:shd w:val="clear" w:color="auto" w:fill="FFFFFF"/>
          <w14:ligatures w14:val="none"/>
        </w:rPr>
        <w:t>for</w:t>
      </w:r>
      <w:r w:rsidRPr="00287F26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3"/>
          <w:szCs w:val="23"/>
          <w:shd w:val="clear" w:color="auto" w:fill="FFFFFF"/>
          <w14:ligatures w14:val="none"/>
        </w:rPr>
        <w:t> using ideal body weight (IBW) if </w:t>
      </w:r>
      <w:r w:rsidRPr="00287F26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3"/>
          <w:szCs w:val="23"/>
          <w:bdr w:val="none" w:sz="0" w:space="0" w:color="auto" w:frame="1"/>
          <w:shd w:val="clear" w:color="auto" w:fill="FFFFFF"/>
          <w14:ligatures w14:val="none"/>
        </w:rPr>
        <w:t>the</w:t>
      </w:r>
      <w:r w:rsidRPr="00287F26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3"/>
          <w:szCs w:val="23"/>
          <w:shd w:val="clear" w:color="auto" w:fill="FFFFFF"/>
          <w14:ligatures w14:val="none"/>
        </w:rPr>
        <w:t> body mass index (BMI) is greater than 30?</w:t>
      </w:r>
      <w:r w:rsidRPr="00287F26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br/>
      </w:r>
      <w:r w:rsidRPr="00287F26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br/>
      </w:r>
      <w:r w:rsidRPr="00287F26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3"/>
          <w:szCs w:val="23"/>
          <w:shd w:val="clear" w:color="auto" w:fill="FFFFFF"/>
          <w14:ligatures w14:val="none"/>
        </w:rPr>
        <w:t>A</w:t>
      </w:r>
      <w:r w:rsidRPr="00287F26">
        <w:rPr>
          <w:rFonts w:ascii="Segoe UI" w:eastAsia="Times New Roman" w:hAnsi="Segoe UI" w:cs="Segoe UI"/>
          <w:i/>
          <w:iCs/>
          <w:color w:val="242424"/>
          <w:kern w:val="0"/>
          <w:sz w:val="23"/>
          <w:szCs w:val="23"/>
          <w:shd w:val="clear" w:color="auto" w:fill="FFFFFF"/>
          <w14:ligatures w14:val="none"/>
        </w:rPr>
        <w:t> Yes, </w:t>
      </w:r>
      <w:r w:rsidRPr="00287F26">
        <w:rPr>
          <w:rFonts w:ascii="Segoe UI" w:eastAsia="Times New Roman" w:hAnsi="Segoe UI" w:cs="Segoe UI"/>
          <w:i/>
          <w:iCs/>
          <w:color w:val="242424"/>
          <w:kern w:val="0"/>
          <w:sz w:val="23"/>
          <w:szCs w:val="23"/>
          <w:bdr w:val="none" w:sz="0" w:space="0" w:color="auto" w:frame="1"/>
          <w:shd w:val="clear" w:color="auto" w:fill="FFFFFF"/>
          <w14:ligatures w14:val="none"/>
        </w:rPr>
        <w:t>the</w:t>
      </w:r>
      <w:r w:rsidRPr="00287F26">
        <w:rPr>
          <w:rFonts w:ascii="Segoe UI" w:eastAsia="Times New Roman" w:hAnsi="Segoe UI" w:cs="Segoe UI"/>
          <w:i/>
          <w:iCs/>
          <w:color w:val="242424"/>
          <w:kern w:val="0"/>
          <w:sz w:val="23"/>
          <w:szCs w:val="23"/>
          <w:shd w:val="clear" w:color="auto" w:fill="FFFFFF"/>
          <w14:ligatures w14:val="none"/>
        </w:rPr>
        <w:t> guidance in </w:t>
      </w:r>
      <w:r w:rsidRPr="00287F26">
        <w:rPr>
          <w:rFonts w:ascii="Segoe UI" w:eastAsia="Times New Roman" w:hAnsi="Segoe UI" w:cs="Segoe UI"/>
          <w:i/>
          <w:iCs/>
          <w:color w:val="242424"/>
          <w:kern w:val="0"/>
          <w:sz w:val="23"/>
          <w:szCs w:val="23"/>
          <w:bdr w:val="none" w:sz="0" w:space="0" w:color="auto" w:frame="1"/>
          <w:shd w:val="clear" w:color="auto" w:fill="FFFFFF"/>
          <w14:ligatures w14:val="none"/>
        </w:rPr>
        <w:t>the</w:t>
      </w:r>
      <w:r w:rsidRPr="00287F26">
        <w:rPr>
          <w:rFonts w:ascii="Segoe UI" w:eastAsia="Times New Roman" w:hAnsi="Segoe UI" w:cs="Segoe UI"/>
          <w:i/>
          <w:iCs/>
          <w:color w:val="242424"/>
          <w:kern w:val="0"/>
          <w:sz w:val="23"/>
          <w:szCs w:val="23"/>
          <w:shd w:val="clear" w:color="auto" w:fill="FFFFFF"/>
          <w14:ligatures w14:val="none"/>
        </w:rPr>
        <w:t> Crystalloid Fluid Administration data element continues to allow </w:t>
      </w:r>
      <w:r w:rsidRPr="00287F26">
        <w:rPr>
          <w:rFonts w:ascii="Segoe UI" w:eastAsia="Times New Roman" w:hAnsi="Segoe UI" w:cs="Segoe UI"/>
          <w:i/>
          <w:iCs/>
          <w:color w:val="242424"/>
          <w:kern w:val="0"/>
          <w:sz w:val="23"/>
          <w:szCs w:val="23"/>
          <w:bdr w:val="none" w:sz="0" w:space="0" w:color="auto" w:frame="1"/>
          <w:shd w:val="clear" w:color="auto" w:fill="FFFFFF"/>
          <w14:ligatures w14:val="none"/>
        </w:rPr>
        <w:t>for</w:t>
      </w:r>
      <w:r w:rsidRPr="00287F26">
        <w:rPr>
          <w:rFonts w:ascii="Segoe UI" w:eastAsia="Times New Roman" w:hAnsi="Segoe UI" w:cs="Segoe UI"/>
          <w:i/>
          <w:iCs/>
          <w:color w:val="242424"/>
          <w:kern w:val="0"/>
          <w:sz w:val="23"/>
          <w:szCs w:val="23"/>
          <w:shd w:val="clear" w:color="auto" w:fill="FFFFFF"/>
          <w14:ligatures w14:val="none"/>
        </w:rPr>
        <w:t> </w:t>
      </w:r>
      <w:r w:rsidRPr="00287F26">
        <w:rPr>
          <w:rFonts w:ascii="Segoe UI" w:eastAsia="Times New Roman" w:hAnsi="Segoe UI" w:cs="Segoe UI"/>
          <w:i/>
          <w:iCs/>
          <w:color w:val="242424"/>
          <w:kern w:val="0"/>
          <w:sz w:val="23"/>
          <w:szCs w:val="23"/>
          <w:bdr w:val="none" w:sz="0" w:space="0" w:color="auto" w:frame="1"/>
          <w:shd w:val="clear" w:color="auto" w:fill="FFFFFF"/>
          <w14:ligatures w14:val="none"/>
        </w:rPr>
        <w:t>the</w:t>
      </w:r>
      <w:r w:rsidRPr="00287F26">
        <w:rPr>
          <w:rFonts w:ascii="Segoe UI" w:eastAsia="Times New Roman" w:hAnsi="Segoe UI" w:cs="Segoe UI"/>
          <w:i/>
          <w:iCs/>
          <w:color w:val="242424"/>
          <w:kern w:val="0"/>
          <w:sz w:val="23"/>
          <w:szCs w:val="23"/>
          <w:shd w:val="clear" w:color="auto" w:fill="FFFFFF"/>
          <w14:ligatures w14:val="none"/>
        </w:rPr>
        <w:t> use </w:t>
      </w:r>
      <w:r w:rsidRPr="00287F26">
        <w:rPr>
          <w:rFonts w:ascii="Segoe UI" w:eastAsia="Times New Roman" w:hAnsi="Segoe UI" w:cs="Segoe UI"/>
          <w:i/>
          <w:iCs/>
          <w:color w:val="242424"/>
          <w:kern w:val="0"/>
          <w:sz w:val="23"/>
          <w:szCs w:val="23"/>
          <w:bdr w:val="none" w:sz="0" w:space="0" w:color="auto" w:frame="1"/>
          <w:shd w:val="clear" w:color="auto" w:fill="FFFFFF"/>
          <w14:ligatures w14:val="none"/>
        </w:rPr>
        <w:t>of</w:t>
      </w:r>
      <w:r w:rsidRPr="00287F26">
        <w:rPr>
          <w:rFonts w:ascii="Segoe UI" w:eastAsia="Times New Roman" w:hAnsi="Segoe UI" w:cs="Segoe UI"/>
          <w:i/>
          <w:iCs/>
          <w:color w:val="242424"/>
          <w:kern w:val="0"/>
          <w:sz w:val="23"/>
          <w:szCs w:val="23"/>
          <w:shd w:val="clear" w:color="auto" w:fill="FFFFFF"/>
          <w14:ligatures w14:val="none"/>
        </w:rPr>
        <w:t> IBW to determine </w:t>
      </w:r>
      <w:r w:rsidRPr="00287F26">
        <w:rPr>
          <w:rFonts w:ascii="Segoe UI" w:eastAsia="Times New Roman" w:hAnsi="Segoe UI" w:cs="Segoe UI"/>
          <w:i/>
          <w:iCs/>
          <w:color w:val="242424"/>
          <w:kern w:val="0"/>
          <w:sz w:val="23"/>
          <w:szCs w:val="23"/>
          <w:bdr w:val="none" w:sz="0" w:space="0" w:color="auto" w:frame="1"/>
          <w:shd w:val="clear" w:color="auto" w:fill="FFFFFF"/>
          <w14:ligatures w14:val="none"/>
        </w:rPr>
        <w:t>the</w:t>
      </w:r>
      <w:r w:rsidRPr="00287F26">
        <w:rPr>
          <w:rFonts w:ascii="Segoe UI" w:eastAsia="Times New Roman" w:hAnsi="Segoe UI" w:cs="Segoe UI"/>
          <w:i/>
          <w:iCs/>
          <w:color w:val="242424"/>
          <w:kern w:val="0"/>
          <w:sz w:val="23"/>
          <w:szCs w:val="23"/>
          <w:shd w:val="clear" w:color="auto" w:fill="FFFFFF"/>
          <w14:ligatures w14:val="none"/>
        </w:rPr>
        <w:t> target ordered volume when </w:t>
      </w:r>
      <w:r w:rsidRPr="00287F26">
        <w:rPr>
          <w:rFonts w:ascii="Segoe UI" w:eastAsia="Times New Roman" w:hAnsi="Segoe UI" w:cs="Segoe UI"/>
          <w:i/>
          <w:iCs/>
          <w:color w:val="242424"/>
          <w:kern w:val="0"/>
          <w:sz w:val="23"/>
          <w:szCs w:val="23"/>
          <w:bdr w:val="none" w:sz="0" w:space="0" w:color="auto" w:frame="1"/>
          <w:shd w:val="clear" w:color="auto" w:fill="FFFFFF"/>
          <w14:ligatures w14:val="none"/>
        </w:rPr>
        <w:t>the</w:t>
      </w:r>
      <w:r w:rsidRPr="00287F26">
        <w:rPr>
          <w:rFonts w:ascii="Segoe UI" w:eastAsia="Times New Roman" w:hAnsi="Segoe UI" w:cs="Segoe UI"/>
          <w:i/>
          <w:iCs/>
          <w:color w:val="242424"/>
          <w:kern w:val="0"/>
          <w:sz w:val="23"/>
          <w:szCs w:val="23"/>
          <w:shd w:val="clear" w:color="auto" w:fill="FFFFFF"/>
          <w14:ligatures w14:val="none"/>
        </w:rPr>
        <w:t>re is physician/APN/PA documentation </w:t>
      </w:r>
      <w:r w:rsidRPr="00287F26">
        <w:rPr>
          <w:rFonts w:ascii="Segoe UI" w:eastAsia="Times New Roman" w:hAnsi="Segoe UI" w:cs="Segoe UI"/>
          <w:i/>
          <w:iCs/>
          <w:color w:val="242424"/>
          <w:kern w:val="0"/>
          <w:sz w:val="23"/>
          <w:szCs w:val="23"/>
          <w:bdr w:val="none" w:sz="0" w:space="0" w:color="auto" w:frame="1"/>
          <w:shd w:val="clear" w:color="auto" w:fill="FFFFFF"/>
          <w14:ligatures w14:val="none"/>
        </w:rPr>
        <w:t>of</w:t>
      </w:r>
      <w:r w:rsidRPr="00287F26">
        <w:rPr>
          <w:rFonts w:ascii="Segoe UI" w:eastAsia="Times New Roman" w:hAnsi="Segoe UI" w:cs="Segoe UI"/>
          <w:i/>
          <w:iCs/>
          <w:color w:val="242424"/>
          <w:kern w:val="0"/>
          <w:sz w:val="23"/>
          <w:szCs w:val="23"/>
          <w:shd w:val="clear" w:color="auto" w:fill="FFFFFF"/>
          <w14:ligatures w14:val="none"/>
        </w:rPr>
        <w:t> obesity or a BMI greater than 30.”</w:t>
      </w:r>
    </w:p>
    <w:p w14:paraId="6238A82A" w14:textId="77777777" w:rsidR="00287F26" w:rsidRDefault="00287F26"/>
    <w:p w14:paraId="65E0CF3E" w14:textId="67D7CBB9" w:rsidR="00287F26" w:rsidRDefault="00287F26">
      <w:r>
        <w:t xml:space="preserve">CMS SEP-1 Algorithm for your reference: </w:t>
      </w:r>
    </w:p>
    <w:p w14:paraId="4C6D8F1E" w14:textId="1A1B57F4" w:rsidR="00287F26" w:rsidRDefault="00287F26">
      <w:r>
        <w:rPr>
          <w:noProof/>
        </w:rPr>
        <w:drawing>
          <wp:inline distT="0" distB="0" distL="0" distR="0" wp14:anchorId="2609F3A6" wp14:editId="020F0B4D">
            <wp:extent cx="5943600" cy="4052570"/>
            <wp:effectExtent l="0" t="0" r="0" b="5080"/>
            <wp:docPr id="11435113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511319" name="Picture 114351131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5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87F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C347E0"/>
    <w:multiLevelType w:val="multilevel"/>
    <w:tmpl w:val="4970C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FA36498"/>
    <w:multiLevelType w:val="multilevel"/>
    <w:tmpl w:val="D3F26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0235867">
    <w:abstractNumId w:val="1"/>
  </w:num>
  <w:num w:numId="2" w16cid:durableId="14543984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367"/>
    <w:rsid w:val="00050CDE"/>
    <w:rsid w:val="00287F26"/>
    <w:rsid w:val="0030179A"/>
    <w:rsid w:val="005D5246"/>
    <w:rsid w:val="0086219E"/>
    <w:rsid w:val="00AA6C5B"/>
    <w:rsid w:val="00C27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73D10"/>
  <w15:chartTrackingRefBased/>
  <w15:docId w15:val="{74A0B150-2A1E-4B8F-A162-40387FC9B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rk6p9mpja9x">
    <w:name w:val="mark6p9mpja9x"/>
    <w:basedOn w:val="DefaultParagraphFont"/>
    <w:rsid w:val="00287F26"/>
  </w:style>
  <w:style w:type="character" w:customStyle="1" w:styleId="markkmzvs2mni">
    <w:name w:val="markkmzvs2mni"/>
    <w:basedOn w:val="DefaultParagraphFont"/>
    <w:rsid w:val="00287F26"/>
  </w:style>
  <w:style w:type="character" w:styleId="Strong">
    <w:name w:val="Strong"/>
    <w:basedOn w:val="DefaultParagraphFont"/>
    <w:uiPriority w:val="22"/>
    <w:qFormat/>
    <w:rsid w:val="00287F26"/>
    <w:rPr>
      <w:b/>
      <w:bCs/>
    </w:rPr>
  </w:style>
  <w:style w:type="character" w:customStyle="1" w:styleId="markn3h0m91si">
    <w:name w:val="markn3h0m91si"/>
    <w:basedOn w:val="DefaultParagraphFont"/>
    <w:rsid w:val="00287F26"/>
  </w:style>
  <w:style w:type="paragraph" w:customStyle="1" w:styleId="xmsonormal">
    <w:name w:val="x_msonormal"/>
    <w:basedOn w:val="Normal"/>
    <w:rsid w:val="00287F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Emphasis">
    <w:name w:val="Emphasis"/>
    <w:basedOn w:val="DefaultParagraphFont"/>
    <w:uiPriority w:val="20"/>
    <w:qFormat/>
    <w:rsid w:val="00287F26"/>
    <w:rPr>
      <w:i/>
      <w:iCs/>
    </w:rPr>
  </w:style>
  <w:style w:type="character" w:customStyle="1" w:styleId="markslfm30jn7">
    <w:name w:val="markslfm30jn7"/>
    <w:basedOn w:val="DefaultParagraphFont"/>
    <w:rsid w:val="00287F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236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197</Words>
  <Characters>1126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Barrier</dc:creator>
  <cp:keywords/>
  <dc:description/>
  <cp:lastModifiedBy>Michele Druhl</cp:lastModifiedBy>
  <cp:revision>2</cp:revision>
  <dcterms:created xsi:type="dcterms:W3CDTF">2023-08-24T18:07:00Z</dcterms:created>
  <dcterms:modified xsi:type="dcterms:W3CDTF">2023-08-24T18:07:00Z</dcterms:modified>
</cp:coreProperties>
</file>